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839"/>
        <w:gridCol w:w="839"/>
        <w:gridCol w:w="839"/>
        <w:gridCol w:w="1951"/>
        <w:gridCol w:w="845"/>
        <w:gridCol w:w="837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x</w:t>
            </w: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45" w:type="dxa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/>
    <w:p/>
    <w:p/>
    <w:p/>
    <w:sectPr>
      <w:footnotePr>
        <w:numFmt w:val="decimal"/>
      </w:footnotePr>
      <w:pgSz w:w="11906" w:h="16838"/>
      <w:pgMar w:top="899" w:right="746" w:bottom="71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CE7E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</Words>
  <Characters>124</Characters>
  <Lines>1</Lines>
  <Paragraphs>1</Paragraphs>
  <TotalTime>0</TotalTime>
  <ScaleCrop>false</ScaleCrop>
  <LinksUpToDate>false</LinksUpToDate>
  <CharactersWithSpaces>152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2002-09-08T11:16:00Z</dcterms:created>
  <dc:creator>Graeme Fee</dc:creator>
  <cp:lastModifiedBy>apc</cp:lastModifiedBy>
  <dcterms:modified xsi:type="dcterms:W3CDTF">2024-04-09T16:50:57Z</dcterms:modified>
  <dc:title>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