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bCs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sz w:val="28"/>
          <w:u w:val="single"/>
        </w:rPr>
        <w:t>Percentage Unscramble 1.</w:t>
      </w: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</w:p>
    <w:tbl>
      <w:tblPr>
        <w:tblStyle w:val="5"/>
        <w:tblW w:w="10296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2988"/>
        <w:gridCol w:w="1130"/>
        <w:gridCol w:w="2059"/>
        <w:gridCol w:w="951"/>
        <w:gridCol w:w="3168"/>
      </w:tblGrid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60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Q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pStyle w:val="2"/>
            </w:pPr>
            <w:r>
              <w:t>O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250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50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P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A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350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80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E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R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300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600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S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A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100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20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H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U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120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200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L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R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60</w:t>
            </w:r>
          </w:p>
        </w:tc>
      </w:tr>
    </w:tbl>
    <w:p>
      <w:pPr>
        <w:rPr>
          <w:rFonts w:ascii="Comic Sans MS" w:hAnsi="Comic Sans MS"/>
          <w:b/>
          <w:bCs/>
          <w:sz w:val="28"/>
          <w:u w:val="single"/>
        </w:rPr>
      </w:pPr>
      <w:r>
        <w:rPr>
          <w:rFonts w:ascii="Comic Sans MS" w:hAnsi="Comic Sans MS"/>
          <w:b/>
          <w:bCs/>
          <w:sz w:val="28"/>
          <w:u w:val="single"/>
        </w:rPr>
        <w:t xml:space="preserve"> </w:t>
      </w:r>
    </w:p>
    <w:p>
      <w:pPr>
        <w:rPr>
          <w:rFonts w:ascii="Comic Sans MS" w:hAnsi="Comic Sans MS"/>
          <w:b/>
          <w:bCs/>
          <w:sz w:val="28"/>
          <w:u w:val="single"/>
        </w:rPr>
      </w:pP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  <w:r>
        <w:rPr>
          <w:rFonts w:ascii="Comic Sans MS" w:hAnsi="Comic Sans MS"/>
          <w:b/>
          <w:bCs/>
          <w:sz w:val="28"/>
          <w:u w:val="single"/>
        </w:rPr>
        <w:t>Percentage Unscramble 2.</w:t>
      </w: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</w:p>
    <w:tbl>
      <w:tblPr>
        <w:tblStyle w:val="5"/>
        <w:tblW w:w="10296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2988"/>
        <w:gridCol w:w="1130"/>
        <w:gridCol w:w="2059"/>
        <w:gridCol w:w="951"/>
        <w:gridCol w:w="3168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40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pStyle w:val="3"/>
            </w:pPr>
            <w:r>
              <w:t>A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pStyle w:val="2"/>
            </w:pPr>
            <w:r>
              <w:t>V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160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24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T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L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130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260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A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O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50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110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L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E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20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40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S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P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210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440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H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R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90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180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L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X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34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390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Y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E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80</w:t>
            </w:r>
          </w:p>
        </w:tc>
      </w:tr>
    </w:tbl>
    <w:p>
      <w:pPr>
        <w:rPr>
          <w:rFonts w:ascii="Comic Sans MS" w:hAnsi="Comic Sans MS"/>
          <w:b/>
          <w:bCs/>
          <w:sz w:val="28"/>
          <w:u w:val="single"/>
        </w:rPr>
      </w:pPr>
      <w:r>
        <w:rPr>
          <w:rFonts w:ascii="Comic Sans MS" w:hAnsi="Comic Sans MS"/>
          <w:b/>
          <w:bCs/>
          <w:sz w:val="28"/>
          <w:u w:val="single"/>
        </w:rPr>
        <w:t xml:space="preserve"> </w:t>
      </w: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  <w:r>
        <w:rPr>
          <w:rFonts w:ascii="Comic Sans MS" w:hAnsi="Comic Sans MS"/>
          <w:b/>
          <w:bCs/>
          <w:sz w:val="28"/>
          <w:u w:val="single"/>
        </w:rPr>
        <w:t>Percentage Unscramble 3.</w:t>
      </w:r>
    </w:p>
    <w:p>
      <w:pPr>
        <w:jc w:val="center"/>
        <w:rPr>
          <w:rFonts w:ascii="Comic Sans MS" w:hAnsi="Comic Sans MS"/>
          <w:b/>
          <w:bCs/>
          <w:sz w:val="28"/>
          <w:u w:val="single"/>
        </w:rPr>
      </w:pPr>
    </w:p>
    <w:tbl>
      <w:tblPr>
        <w:tblStyle w:val="5"/>
        <w:tblW w:w="10296" w:type="dxa"/>
        <w:tblInd w:w="0" w:type="dxa"/>
        <w:tblLayout w:type="fixed"/>
        <w:tblCellMar>
          <w:left w:w="108" w:type="dxa"/>
          <w:right w:w="108" w:type="dxa"/>
        </w:tblCellMar>
      </w:tblPr>
      <w:tblGrid>
        <w:gridCol w:w="2988"/>
        <w:gridCol w:w="1130"/>
        <w:gridCol w:w="2059"/>
        <w:gridCol w:w="951"/>
        <w:gridCol w:w="3168"/>
      </w:tblGrid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25% of 80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pStyle w:val="3"/>
            </w:pPr>
            <w:r>
              <w:t>G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pStyle w:val="2"/>
            </w:pPr>
            <w:r>
              <w:t>S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190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20% of 80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F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P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170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5% of 60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H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D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4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25% of 40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R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I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50% of 18</w:t>
            </w:r>
          </w:p>
        </w:tc>
      </w:tr>
      <w:tr>
        <w:tblPrEx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88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10% of 90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E</w:t>
            </w:r>
          </w:p>
        </w:tc>
        <w:tc>
          <w:tcPr>
            <w:tcW w:w="2059" w:type="dxa"/>
            <w:noWrap w:val="0"/>
            <w:vAlign w:val="top"/>
          </w:tcPr>
          <w:p>
            <w:pPr>
              <w:rPr>
                <w:rFonts w:ascii="Comic Sans MS" w:hAnsi="Comic Sans MS"/>
                <w:b/>
                <w:bCs/>
                <w:sz w:val="28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A</w:t>
            </w:r>
          </w:p>
        </w:tc>
        <w:tc>
          <w:tcPr>
            <w:tcW w:w="3168" w:type="dxa"/>
            <w:noWrap w:val="0"/>
            <w:vAlign w:val="top"/>
          </w:tcPr>
          <w:p>
            <w:pPr>
              <w:jc w:val="righ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5% of 220</w:t>
            </w:r>
          </w:p>
        </w:tc>
      </w:tr>
    </w:tbl>
    <w:p>
      <w:pPr>
        <w:rPr>
          <w:rFonts w:ascii="Comic Sans MS" w:hAnsi="Comic Sans MS"/>
          <w:b/>
          <w:bCs/>
          <w:sz w:val="28"/>
          <w:u w:val="single"/>
        </w:rPr>
      </w:pPr>
    </w:p>
    <w:sectPr>
      <w:footnotePr>
        <w:numFmt w:val="decimal"/>
      </w:footnotePr>
      <w:pgSz w:w="11906" w:h="16838"/>
      <w:pgMar w:top="719" w:right="926" w:bottom="719" w:left="9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AD3DFD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unhideWhenUsed="0" w:uiPriority="6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right"/>
      <w:outlineLvl w:val="0"/>
    </w:pPr>
    <w:rPr>
      <w:rFonts w:ascii="Comic Sans MS" w:hAnsi="Comic Sans MS"/>
      <w:b/>
      <w:bCs/>
      <w:sz w:val="28"/>
    </w:rPr>
  </w:style>
  <w:style w:type="paragraph" w:styleId="3">
    <w:name w:val="heading 2"/>
    <w:basedOn w:val="1"/>
    <w:next w:val="1"/>
    <w:uiPriority w:val="6"/>
    <w:pPr>
      <w:keepNext/>
      <w:outlineLvl w:val="1"/>
    </w:pPr>
    <w:rPr>
      <w:rFonts w:ascii="Comic Sans MS" w:hAnsi="Comic Sans MS"/>
      <w:b/>
      <w:bCs/>
      <w:sz w:val="28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85</Words>
  <Characters>489</Characters>
  <Lines>4</Lines>
  <Paragraphs>1</Paragraphs>
  <TotalTime>0</TotalTime>
  <ScaleCrop>false</ScaleCrop>
  <LinksUpToDate>false</LinksUpToDate>
  <CharactersWithSpaces>600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2002-09-14T14:31:00Z</dcterms:created>
  <dc:creator>Graeme Fee</dc:creator>
  <cp:lastModifiedBy>mathssite.com</cp:lastModifiedBy>
  <dcterms:modified xsi:type="dcterms:W3CDTF">2019-04-20T13:54:48Z</dcterms:modified>
  <dc:title>Percentage Unscramble 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